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E9" w:rsidRPr="001654B0" w:rsidRDefault="000E12E9" w:rsidP="000E12E9">
      <w:pPr>
        <w:jc w:val="both"/>
        <w:rPr>
          <w:rFonts w:eastAsia="Times New Roman"/>
          <w:lang w:eastAsia="pt-BR"/>
        </w:rPr>
      </w:pPr>
    </w:p>
    <w:p w:rsidR="00F869FB" w:rsidRPr="00F869FB" w:rsidRDefault="00F869FB" w:rsidP="00F869FB">
      <w:pPr>
        <w:suppressAutoHyphens w:val="0"/>
        <w:spacing w:after="160" w:line="259" w:lineRule="auto"/>
        <w:jc w:val="both"/>
        <w:rPr>
          <w:rFonts w:asciiTheme="minorHAnsi" w:eastAsia="Calibri" w:hAnsiTheme="minorHAnsi" w:cstheme="minorHAnsi"/>
          <w:b/>
          <w:lang w:eastAsia="en-US"/>
        </w:rPr>
      </w:pPr>
      <w:r w:rsidRPr="00F869FB">
        <w:rPr>
          <w:rFonts w:asciiTheme="minorHAnsi" w:eastAsia="Calibri" w:hAnsiTheme="minorHAnsi" w:cstheme="minorHAnsi"/>
          <w:b/>
          <w:lang w:eastAsia="en-US"/>
        </w:rPr>
        <w:t>À CONSTRUTORA ZADAR LTDA</w:t>
      </w:r>
    </w:p>
    <w:p w:rsidR="00F869FB" w:rsidRPr="00F869FB" w:rsidRDefault="00F869FB" w:rsidP="00F869FB">
      <w:pPr>
        <w:suppressAutoHyphens w:val="0"/>
        <w:spacing w:after="160" w:line="259" w:lineRule="auto"/>
        <w:jc w:val="both"/>
        <w:rPr>
          <w:rFonts w:asciiTheme="minorHAnsi" w:eastAsia="Calibri" w:hAnsiTheme="minorHAnsi" w:cstheme="minorHAnsi"/>
          <w:lang w:eastAsia="en-US"/>
        </w:rPr>
      </w:pPr>
      <w:r w:rsidRPr="00F869FB">
        <w:rPr>
          <w:rFonts w:asciiTheme="minorHAnsi" w:eastAsia="Calibri" w:hAnsiTheme="minorHAnsi" w:cstheme="minorHAnsi"/>
          <w:lang w:eastAsia="en-US"/>
        </w:rPr>
        <w:t>I – RELATÓRIO</w:t>
      </w:r>
    </w:p>
    <w:p w:rsidR="00F869FB" w:rsidRPr="00F869FB" w:rsidRDefault="00F869FB" w:rsidP="00F869FB">
      <w:pPr>
        <w:suppressAutoHyphens w:val="0"/>
        <w:spacing w:after="160" w:line="259" w:lineRule="auto"/>
        <w:jc w:val="both"/>
        <w:rPr>
          <w:rFonts w:asciiTheme="minorHAnsi" w:eastAsia="Calibri" w:hAnsiTheme="minorHAnsi" w:cstheme="minorHAnsi"/>
          <w:lang w:eastAsia="en-US"/>
        </w:rPr>
      </w:pPr>
      <w:r w:rsidRPr="00F869FB">
        <w:rPr>
          <w:rFonts w:asciiTheme="minorHAnsi" w:eastAsia="Calibri" w:hAnsiTheme="minorHAnsi" w:cstheme="minorHAnsi"/>
          <w:lang w:eastAsia="en-US"/>
        </w:rPr>
        <w:tab/>
        <w:t xml:space="preserve">Trata-se de impugnação ao Edital referente ao Pregão Presencial nº 006/2021 pela CONSTRUTORA ZADAR LTDA, onde solicita que os Anexos I, II, III e IV do Edital sejam excluídos do referido Pregão, sob o argumento de que os relatórios de ensaio com análise de contaminação do solo teriam sido realizados pela concorrente, por intermédio da execução de obras do Parque Orla de Piratininga. Pugna, ainda, que o a licitação seja reagendada para uma nova data, já que está agendada para o dia 26/03/2021. </w:t>
      </w:r>
    </w:p>
    <w:p w:rsidR="00F869FB" w:rsidRPr="00F869FB" w:rsidRDefault="00F869FB" w:rsidP="00F869FB">
      <w:pPr>
        <w:suppressAutoHyphens w:val="0"/>
        <w:spacing w:after="160" w:line="259" w:lineRule="auto"/>
        <w:jc w:val="both"/>
        <w:rPr>
          <w:rFonts w:asciiTheme="minorHAnsi" w:eastAsia="Calibri" w:hAnsiTheme="minorHAnsi" w:cstheme="minorHAnsi"/>
          <w:i/>
          <w:iCs/>
          <w:lang w:eastAsia="en-US"/>
        </w:rPr>
      </w:pPr>
      <w:r w:rsidRPr="00F869FB">
        <w:rPr>
          <w:rFonts w:asciiTheme="minorHAnsi" w:eastAsia="Calibri" w:hAnsiTheme="minorHAnsi" w:cstheme="minorHAnsi"/>
          <w:i/>
          <w:iCs/>
          <w:lang w:eastAsia="en-US"/>
        </w:rPr>
        <w:t xml:space="preserve">É o relatório. Onde passo a decidir. </w:t>
      </w:r>
    </w:p>
    <w:p w:rsidR="00F869FB" w:rsidRPr="00F869FB" w:rsidRDefault="00F869FB" w:rsidP="00F869FB">
      <w:pPr>
        <w:suppressAutoHyphens w:val="0"/>
        <w:spacing w:after="160" w:line="259" w:lineRule="auto"/>
        <w:jc w:val="both"/>
        <w:rPr>
          <w:rFonts w:asciiTheme="minorHAnsi" w:eastAsia="Calibri" w:hAnsiTheme="minorHAnsi" w:cstheme="minorHAnsi"/>
          <w:lang w:eastAsia="en-US"/>
        </w:rPr>
      </w:pPr>
      <w:r w:rsidRPr="00F869FB">
        <w:rPr>
          <w:rFonts w:asciiTheme="minorHAnsi" w:eastAsia="Calibri" w:hAnsiTheme="minorHAnsi" w:cstheme="minorHAnsi"/>
          <w:lang w:eastAsia="en-US"/>
        </w:rPr>
        <w:t>II – DA TEMPESTIVIDADE</w:t>
      </w:r>
    </w:p>
    <w:p w:rsidR="00F869FB" w:rsidRPr="00F869FB" w:rsidRDefault="00F869FB" w:rsidP="00F869FB">
      <w:pPr>
        <w:suppressAutoHyphens w:val="0"/>
        <w:spacing w:after="160" w:line="259" w:lineRule="auto"/>
        <w:jc w:val="both"/>
        <w:rPr>
          <w:rFonts w:asciiTheme="minorHAnsi" w:eastAsia="Calibri" w:hAnsiTheme="minorHAnsi" w:cstheme="minorHAnsi"/>
          <w:lang w:eastAsia="en-US"/>
        </w:rPr>
      </w:pPr>
      <w:r w:rsidRPr="00F869FB">
        <w:rPr>
          <w:rFonts w:asciiTheme="minorHAnsi" w:eastAsia="Calibri" w:hAnsiTheme="minorHAnsi" w:cstheme="minorHAnsi"/>
          <w:lang w:eastAsia="en-US"/>
        </w:rPr>
        <w:tab/>
        <w:t xml:space="preserve">Tal impugnação resta-se tempestiva haja vista a Concorrente tê-la apresentado, por escrito, em 22/03/2021, </w:t>
      </w:r>
      <w:r w:rsidRPr="00F869FB">
        <w:rPr>
          <w:rFonts w:asciiTheme="minorHAnsi" w:eastAsia="Calibri" w:hAnsiTheme="minorHAnsi" w:cstheme="minorHAnsi"/>
          <w:b/>
          <w:bCs/>
          <w:u w:val="single"/>
          <w:lang w:eastAsia="en-US"/>
        </w:rPr>
        <w:t>quatro</w:t>
      </w:r>
      <w:r w:rsidRPr="00F869FB">
        <w:rPr>
          <w:rFonts w:asciiTheme="minorHAnsi" w:eastAsia="Calibri" w:hAnsiTheme="minorHAnsi" w:cstheme="minorHAnsi"/>
          <w:lang w:eastAsia="en-US"/>
        </w:rPr>
        <w:t xml:space="preserve"> dias antes da sessão da Licitação, conforme o item 1.5. </w:t>
      </w:r>
      <w:proofErr w:type="gramStart"/>
      <w:r w:rsidRPr="00F869FB">
        <w:rPr>
          <w:rFonts w:asciiTheme="minorHAnsi" w:eastAsia="Calibri" w:hAnsiTheme="minorHAnsi" w:cstheme="minorHAnsi"/>
          <w:lang w:eastAsia="en-US"/>
        </w:rPr>
        <w:t>do</w:t>
      </w:r>
      <w:proofErr w:type="gramEnd"/>
      <w:r w:rsidRPr="00F869FB">
        <w:rPr>
          <w:rFonts w:asciiTheme="minorHAnsi" w:eastAsia="Calibri" w:hAnsiTheme="minorHAnsi" w:cstheme="minorHAnsi"/>
          <w:lang w:eastAsia="en-US"/>
        </w:rPr>
        <w:t xml:space="preserve"> Edital, </w:t>
      </w:r>
      <w:r w:rsidRPr="00F869FB">
        <w:rPr>
          <w:rFonts w:asciiTheme="minorHAnsi" w:eastAsia="Calibri" w:hAnsiTheme="minorHAnsi" w:cstheme="minorHAnsi"/>
          <w:i/>
          <w:iCs/>
          <w:lang w:eastAsia="en-US"/>
        </w:rPr>
        <w:t xml:space="preserve">in </w:t>
      </w:r>
      <w:proofErr w:type="spellStart"/>
      <w:r w:rsidRPr="00F869FB">
        <w:rPr>
          <w:rFonts w:asciiTheme="minorHAnsi" w:eastAsia="Calibri" w:hAnsiTheme="minorHAnsi" w:cstheme="minorHAnsi"/>
          <w:i/>
          <w:iCs/>
          <w:lang w:eastAsia="en-US"/>
        </w:rPr>
        <w:t>verbis</w:t>
      </w:r>
      <w:proofErr w:type="spellEnd"/>
      <w:r w:rsidRPr="00F869FB">
        <w:rPr>
          <w:rFonts w:asciiTheme="minorHAnsi" w:eastAsia="Calibri" w:hAnsiTheme="minorHAnsi" w:cstheme="minorHAnsi"/>
          <w:lang w:eastAsia="en-US"/>
        </w:rPr>
        <w:t>:</w:t>
      </w:r>
    </w:p>
    <w:p w:rsidR="00F869FB" w:rsidRPr="00F869FB" w:rsidRDefault="00F869FB" w:rsidP="00F869FB">
      <w:pPr>
        <w:suppressAutoHyphens w:val="0"/>
        <w:spacing w:after="160" w:line="259" w:lineRule="auto"/>
        <w:ind w:left="2124"/>
        <w:jc w:val="both"/>
        <w:rPr>
          <w:rFonts w:asciiTheme="minorHAnsi" w:eastAsia="Calibri" w:hAnsiTheme="minorHAnsi" w:cstheme="minorHAnsi"/>
          <w:i/>
          <w:iCs/>
          <w:lang w:eastAsia="en-US"/>
        </w:rPr>
      </w:pPr>
      <w:r w:rsidRPr="00F869FB">
        <w:rPr>
          <w:rFonts w:asciiTheme="minorHAnsi" w:eastAsia="Calibri" w:hAnsiTheme="minorHAnsi" w:cstheme="minorHAnsi"/>
          <w:i/>
          <w:iCs/>
          <w:lang w:eastAsia="en-US"/>
        </w:rPr>
        <w:t xml:space="preserve">1.5. Os interessados poderão formular impugnações ao presente edital em até 2 (dois) dias úteis anteriores à abertura da sessão, no seguinte endereço: Rua Visconde de </w:t>
      </w:r>
      <w:proofErr w:type="spellStart"/>
      <w:r w:rsidRPr="00F869FB">
        <w:rPr>
          <w:rFonts w:asciiTheme="minorHAnsi" w:eastAsia="Calibri" w:hAnsiTheme="minorHAnsi" w:cstheme="minorHAnsi"/>
          <w:i/>
          <w:iCs/>
          <w:lang w:eastAsia="en-US"/>
        </w:rPr>
        <w:t>Sepetiba</w:t>
      </w:r>
      <w:proofErr w:type="spellEnd"/>
      <w:r w:rsidRPr="00F869FB">
        <w:rPr>
          <w:rFonts w:asciiTheme="minorHAnsi" w:eastAsia="Calibri" w:hAnsiTheme="minorHAnsi" w:cstheme="minorHAnsi"/>
          <w:i/>
          <w:iCs/>
          <w:lang w:eastAsia="en-US"/>
        </w:rPr>
        <w:t xml:space="preserve">, nº 987 – Térreo – Centro – Niterói – RJ, Protocolo, de 9:00 até as 16:00 horas, ou ainda, mediante confirmação de recebimento, pelo e-mail </w:t>
      </w:r>
      <w:hyperlink r:id="rId8" w:history="1">
        <w:r w:rsidRPr="00F869FB">
          <w:rPr>
            <w:rFonts w:asciiTheme="minorHAnsi" w:eastAsia="Calibri" w:hAnsiTheme="minorHAnsi" w:cstheme="minorHAnsi"/>
            <w:i/>
            <w:iCs/>
            <w:color w:val="0563C1"/>
            <w:u w:val="single"/>
            <w:lang w:eastAsia="en-US"/>
          </w:rPr>
          <w:t>materialsma@administração.niteroi.rj.gov.br</w:t>
        </w:r>
      </w:hyperlink>
    </w:p>
    <w:p w:rsidR="00F869FB" w:rsidRPr="00F869FB" w:rsidRDefault="00F869FB" w:rsidP="00F869FB">
      <w:pPr>
        <w:suppressAutoHyphens w:val="0"/>
        <w:spacing w:after="160" w:line="259" w:lineRule="auto"/>
        <w:jc w:val="both"/>
        <w:rPr>
          <w:rFonts w:asciiTheme="minorHAnsi" w:eastAsia="Calibri" w:hAnsiTheme="minorHAnsi" w:cstheme="minorHAnsi"/>
          <w:lang w:eastAsia="en-US"/>
        </w:rPr>
      </w:pPr>
      <w:r w:rsidRPr="00F869FB">
        <w:rPr>
          <w:rFonts w:asciiTheme="minorHAnsi" w:eastAsia="Calibri" w:hAnsiTheme="minorHAnsi" w:cstheme="minorHAnsi"/>
          <w:lang w:eastAsia="en-US"/>
        </w:rPr>
        <w:t>III – FUNDAMENTAÇÃO</w:t>
      </w:r>
    </w:p>
    <w:p w:rsidR="00F869FB" w:rsidRPr="00F869FB" w:rsidRDefault="00F869FB" w:rsidP="00F869FB">
      <w:pPr>
        <w:suppressAutoHyphens w:val="0"/>
        <w:spacing w:after="160" w:line="259" w:lineRule="auto"/>
        <w:jc w:val="both"/>
        <w:rPr>
          <w:rFonts w:asciiTheme="minorHAnsi" w:eastAsia="Calibri" w:hAnsiTheme="minorHAnsi" w:cstheme="minorHAnsi"/>
          <w:lang w:eastAsia="en-US"/>
        </w:rPr>
      </w:pPr>
      <w:r w:rsidRPr="00F869FB">
        <w:rPr>
          <w:rFonts w:asciiTheme="minorHAnsi" w:eastAsia="Calibri" w:hAnsiTheme="minorHAnsi" w:cstheme="minorHAnsi"/>
          <w:lang w:eastAsia="en-US"/>
        </w:rPr>
        <w:tab/>
        <w:t xml:space="preserve">A Impugnante alega que a Secretaria de Obras, que em divulgação ao relatório de análise de contaminação do solo, realizado através de uma subcontratação pela Construtora </w:t>
      </w:r>
      <w:proofErr w:type="spellStart"/>
      <w:r w:rsidRPr="00F869FB">
        <w:rPr>
          <w:rFonts w:asciiTheme="minorHAnsi" w:eastAsia="Calibri" w:hAnsiTheme="minorHAnsi" w:cstheme="minorHAnsi"/>
          <w:lang w:eastAsia="en-US"/>
        </w:rPr>
        <w:t>Zadar</w:t>
      </w:r>
      <w:proofErr w:type="spellEnd"/>
      <w:r w:rsidRPr="00F869FB">
        <w:rPr>
          <w:rFonts w:asciiTheme="minorHAnsi" w:eastAsia="Calibri" w:hAnsiTheme="minorHAnsi" w:cstheme="minorHAnsi"/>
          <w:lang w:eastAsia="en-US"/>
        </w:rPr>
        <w:t xml:space="preserve"> LTDA (integrante do consórcio executor das obras do Parque Orla Piratininga), estaria prejudicando a participação da mesma sobre eventual impedimento em razão do previsto no art. 9º da Lei nº 8.666/93. </w:t>
      </w:r>
    </w:p>
    <w:p w:rsidR="00F869FB" w:rsidRPr="00F869FB" w:rsidRDefault="00F869FB" w:rsidP="00F869FB">
      <w:pPr>
        <w:suppressAutoHyphens w:val="0"/>
        <w:spacing w:after="160" w:line="259" w:lineRule="auto"/>
        <w:jc w:val="both"/>
        <w:rPr>
          <w:rFonts w:asciiTheme="minorHAnsi" w:eastAsia="Calibri" w:hAnsiTheme="minorHAnsi" w:cstheme="minorHAnsi"/>
          <w:b/>
          <w:bCs/>
          <w:lang w:eastAsia="en-US"/>
        </w:rPr>
      </w:pPr>
      <w:r w:rsidRPr="00F869FB">
        <w:rPr>
          <w:rFonts w:asciiTheme="minorHAnsi" w:eastAsia="Calibri" w:hAnsiTheme="minorHAnsi" w:cstheme="minorHAnsi"/>
          <w:lang w:eastAsia="en-US"/>
        </w:rPr>
        <w:tab/>
      </w:r>
      <w:r w:rsidRPr="00F869FB">
        <w:rPr>
          <w:rFonts w:asciiTheme="minorHAnsi" w:eastAsia="Calibri" w:hAnsiTheme="minorHAnsi" w:cstheme="minorHAnsi"/>
          <w:b/>
          <w:bCs/>
          <w:lang w:eastAsia="en-US"/>
        </w:rPr>
        <w:t xml:space="preserve">Porém, não merecem prosperar as alegações da ora Impugnante. </w:t>
      </w:r>
    </w:p>
    <w:p w:rsidR="00F869FB" w:rsidRPr="00F869FB" w:rsidRDefault="00F869FB" w:rsidP="00F869FB">
      <w:pPr>
        <w:suppressAutoHyphens w:val="0"/>
        <w:spacing w:after="160" w:line="259" w:lineRule="auto"/>
        <w:jc w:val="both"/>
        <w:rPr>
          <w:rFonts w:asciiTheme="minorHAnsi" w:eastAsia="Calibri" w:hAnsiTheme="minorHAnsi" w:cstheme="minorHAnsi"/>
          <w:lang w:eastAsia="en-US"/>
        </w:rPr>
      </w:pPr>
      <w:r w:rsidRPr="00F869FB">
        <w:rPr>
          <w:rFonts w:asciiTheme="minorHAnsi" w:eastAsia="Calibri" w:hAnsiTheme="minorHAnsi" w:cstheme="minorHAnsi"/>
          <w:b/>
          <w:bCs/>
          <w:lang w:eastAsia="en-US"/>
        </w:rPr>
        <w:tab/>
      </w:r>
      <w:r w:rsidRPr="00F869FB">
        <w:rPr>
          <w:rFonts w:asciiTheme="minorHAnsi" w:eastAsia="Calibri" w:hAnsiTheme="minorHAnsi" w:cstheme="minorHAnsi"/>
          <w:lang w:eastAsia="en-US"/>
        </w:rPr>
        <w:t xml:space="preserve">A Lei Federal nº 8.666/93, em seu artigo 9º dispõe dos requisitos que vedam a participação, direta ou indireta, da licitação ou da execução de obra: </w:t>
      </w:r>
    </w:p>
    <w:p w:rsidR="00F869FB" w:rsidRPr="00F869FB" w:rsidRDefault="00F869FB" w:rsidP="00F869FB">
      <w:pPr>
        <w:suppressAutoHyphens w:val="0"/>
        <w:spacing w:before="100" w:beforeAutospacing="1" w:after="100" w:afterAutospacing="1"/>
        <w:ind w:left="1701"/>
        <w:jc w:val="both"/>
        <w:rPr>
          <w:rFonts w:asciiTheme="minorHAnsi" w:eastAsia="Times New Roman" w:hAnsiTheme="minorHAnsi" w:cstheme="minorHAnsi"/>
          <w:color w:val="000000"/>
          <w:lang w:eastAsia="pt-BR"/>
        </w:rPr>
      </w:pPr>
      <w:r w:rsidRPr="00F869FB">
        <w:rPr>
          <w:rFonts w:asciiTheme="minorHAnsi" w:eastAsia="Times New Roman" w:hAnsiTheme="minorHAnsi" w:cstheme="minorHAnsi"/>
          <w:color w:val="000000"/>
          <w:lang w:eastAsia="pt-BR"/>
        </w:rPr>
        <w:t>Art. 9</w:t>
      </w:r>
      <w:proofErr w:type="gramStart"/>
      <w:r w:rsidRPr="00F869FB">
        <w:rPr>
          <w:rFonts w:asciiTheme="minorHAnsi" w:eastAsia="Times New Roman" w:hAnsiTheme="minorHAnsi" w:cstheme="minorHAnsi"/>
          <w:color w:val="000000"/>
          <w:u w:val="single"/>
          <w:vertAlign w:val="superscript"/>
          <w:lang w:eastAsia="pt-BR"/>
        </w:rPr>
        <w:t>o</w:t>
      </w:r>
      <w:r w:rsidRPr="00F869FB">
        <w:rPr>
          <w:rFonts w:asciiTheme="minorHAnsi" w:eastAsia="Times New Roman" w:hAnsiTheme="minorHAnsi" w:cstheme="minorHAnsi"/>
          <w:color w:val="000000"/>
          <w:lang w:eastAsia="pt-BR"/>
        </w:rPr>
        <w:t>  Não</w:t>
      </w:r>
      <w:proofErr w:type="gramEnd"/>
      <w:r w:rsidRPr="00F869FB">
        <w:rPr>
          <w:rFonts w:asciiTheme="minorHAnsi" w:eastAsia="Times New Roman" w:hAnsiTheme="minorHAnsi" w:cstheme="minorHAnsi"/>
          <w:color w:val="000000"/>
          <w:lang w:eastAsia="pt-BR"/>
        </w:rPr>
        <w:t xml:space="preserve"> poderá participar, direta ou indiretamente, da licitação ou da execução de obra ou serviço e do fornecimento de bens a eles necessários:</w:t>
      </w:r>
    </w:p>
    <w:p w:rsidR="00F869FB" w:rsidRPr="00F869FB" w:rsidRDefault="00F869FB" w:rsidP="00F869FB">
      <w:pPr>
        <w:suppressAutoHyphens w:val="0"/>
        <w:spacing w:before="100" w:beforeAutospacing="1" w:after="100" w:afterAutospacing="1"/>
        <w:ind w:left="1701"/>
        <w:jc w:val="both"/>
        <w:rPr>
          <w:rFonts w:asciiTheme="minorHAnsi" w:eastAsia="Times New Roman" w:hAnsiTheme="minorHAnsi" w:cstheme="minorHAnsi"/>
          <w:b/>
          <w:bCs/>
          <w:color w:val="000000"/>
          <w:u w:val="single"/>
          <w:lang w:eastAsia="pt-BR"/>
        </w:rPr>
      </w:pPr>
      <w:bookmarkStart w:id="0" w:name="art9i"/>
      <w:bookmarkEnd w:id="0"/>
      <w:r w:rsidRPr="00F869FB">
        <w:rPr>
          <w:rFonts w:asciiTheme="minorHAnsi" w:eastAsia="Times New Roman" w:hAnsiTheme="minorHAnsi" w:cstheme="minorHAnsi"/>
          <w:b/>
          <w:bCs/>
          <w:color w:val="000000"/>
          <w:u w:val="single"/>
          <w:lang w:eastAsia="pt-BR"/>
        </w:rPr>
        <w:t>I - </w:t>
      </w:r>
      <w:proofErr w:type="gramStart"/>
      <w:r w:rsidRPr="00F869FB">
        <w:rPr>
          <w:rFonts w:asciiTheme="minorHAnsi" w:eastAsia="Times New Roman" w:hAnsiTheme="minorHAnsi" w:cstheme="minorHAnsi"/>
          <w:b/>
          <w:bCs/>
          <w:color w:val="000000"/>
          <w:u w:val="single"/>
          <w:lang w:eastAsia="pt-BR"/>
        </w:rPr>
        <w:t>o</w:t>
      </w:r>
      <w:proofErr w:type="gramEnd"/>
      <w:r w:rsidRPr="00F869FB">
        <w:rPr>
          <w:rFonts w:asciiTheme="minorHAnsi" w:eastAsia="Times New Roman" w:hAnsiTheme="minorHAnsi" w:cstheme="minorHAnsi"/>
          <w:b/>
          <w:bCs/>
          <w:color w:val="000000"/>
          <w:u w:val="single"/>
          <w:lang w:eastAsia="pt-BR"/>
        </w:rPr>
        <w:t xml:space="preserve"> autor do projeto, básico ou executivo, pessoa física ou jurídica;</w:t>
      </w:r>
    </w:p>
    <w:p w:rsidR="00F869FB" w:rsidRPr="00F869FB" w:rsidRDefault="00F869FB" w:rsidP="00F869FB">
      <w:pPr>
        <w:suppressAutoHyphens w:val="0"/>
        <w:spacing w:before="100" w:beforeAutospacing="1" w:after="100" w:afterAutospacing="1"/>
        <w:ind w:left="1701"/>
        <w:jc w:val="both"/>
        <w:rPr>
          <w:rFonts w:asciiTheme="minorHAnsi" w:eastAsia="Times New Roman" w:hAnsiTheme="minorHAnsi" w:cstheme="minorHAnsi"/>
          <w:color w:val="000000"/>
          <w:lang w:eastAsia="pt-BR"/>
        </w:rPr>
      </w:pPr>
      <w:bookmarkStart w:id="1" w:name="art9ii"/>
      <w:bookmarkEnd w:id="1"/>
      <w:r w:rsidRPr="00F869FB">
        <w:rPr>
          <w:rFonts w:asciiTheme="minorHAnsi" w:eastAsia="Times New Roman" w:hAnsiTheme="minorHAnsi" w:cstheme="minorHAnsi"/>
          <w:color w:val="000000"/>
          <w:lang w:eastAsia="pt-BR"/>
        </w:rPr>
        <w:lastRenderedPageBreak/>
        <w:t>II - </w:t>
      </w:r>
      <w:proofErr w:type="gramStart"/>
      <w:r w:rsidRPr="00F869FB">
        <w:rPr>
          <w:rFonts w:asciiTheme="minorHAnsi" w:eastAsia="Times New Roman" w:hAnsiTheme="minorHAnsi" w:cstheme="minorHAnsi"/>
          <w:color w:val="000000"/>
          <w:lang w:eastAsia="pt-BR"/>
        </w:rPr>
        <w:t>empresa</w:t>
      </w:r>
      <w:proofErr w:type="gramEnd"/>
      <w:r w:rsidRPr="00F869FB">
        <w:rPr>
          <w:rFonts w:asciiTheme="minorHAnsi" w:eastAsia="Times New Roman" w:hAnsiTheme="minorHAnsi" w:cstheme="minorHAnsi"/>
          <w:color w:val="000000"/>
          <w:lang w:eastAsia="pt-BR"/>
        </w:rPr>
        <w:t>,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F869FB" w:rsidRPr="00F869FB" w:rsidRDefault="00F869FB" w:rsidP="00F869FB">
      <w:pPr>
        <w:suppressAutoHyphens w:val="0"/>
        <w:spacing w:before="100" w:beforeAutospacing="1" w:after="100" w:afterAutospacing="1"/>
        <w:ind w:left="1701"/>
        <w:jc w:val="both"/>
        <w:rPr>
          <w:rFonts w:asciiTheme="minorHAnsi" w:eastAsia="Times New Roman" w:hAnsiTheme="minorHAnsi" w:cstheme="minorHAnsi"/>
          <w:color w:val="000000"/>
          <w:lang w:eastAsia="pt-BR"/>
        </w:rPr>
      </w:pPr>
      <w:bookmarkStart w:id="2" w:name="art9iii"/>
      <w:bookmarkEnd w:id="2"/>
      <w:r w:rsidRPr="00F869FB">
        <w:rPr>
          <w:rFonts w:asciiTheme="minorHAnsi" w:eastAsia="Times New Roman" w:hAnsiTheme="minorHAnsi" w:cstheme="minorHAnsi"/>
          <w:color w:val="000000"/>
          <w:lang w:eastAsia="pt-BR"/>
        </w:rPr>
        <w:t>III - servidor ou dirigente de órgão ou entidade contratante ou responsável pela licitação.</w:t>
      </w:r>
    </w:p>
    <w:p w:rsidR="00F869FB" w:rsidRPr="00F869FB" w:rsidRDefault="00F869FB" w:rsidP="00F869FB">
      <w:pPr>
        <w:suppressAutoHyphens w:val="0"/>
        <w:spacing w:before="100" w:beforeAutospacing="1" w:after="100" w:afterAutospacing="1"/>
        <w:ind w:left="1701"/>
        <w:jc w:val="both"/>
        <w:rPr>
          <w:rFonts w:asciiTheme="minorHAnsi" w:eastAsia="Times New Roman" w:hAnsiTheme="minorHAnsi" w:cstheme="minorHAnsi"/>
          <w:color w:val="000000"/>
          <w:lang w:eastAsia="pt-BR"/>
        </w:rPr>
      </w:pPr>
      <w:bookmarkStart w:id="3" w:name="art9§1"/>
      <w:bookmarkEnd w:id="3"/>
      <w:r w:rsidRPr="00F869FB">
        <w:rPr>
          <w:rFonts w:asciiTheme="minorHAnsi" w:eastAsia="Times New Roman" w:hAnsiTheme="minorHAnsi" w:cstheme="minorHAnsi"/>
          <w:color w:val="000000"/>
          <w:lang w:eastAsia="pt-BR"/>
        </w:rPr>
        <w:t>§ 1</w:t>
      </w:r>
      <w:proofErr w:type="gramStart"/>
      <w:r w:rsidRPr="00F869FB">
        <w:rPr>
          <w:rFonts w:asciiTheme="minorHAnsi" w:eastAsia="Times New Roman" w:hAnsiTheme="minorHAnsi" w:cstheme="minorHAnsi"/>
          <w:color w:val="000000"/>
          <w:u w:val="single"/>
          <w:vertAlign w:val="superscript"/>
          <w:lang w:eastAsia="pt-BR"/>
        </w:rPr>
        <w:t>o</w:t>
      </w:r>
      <w:r w:rsidRPr="00F869FB">
        <w:rPr>
          <w:rFonts w:asciiTheme="minorHAnsi" w:eastAsia="Times New Roman" w:hAnsiTheme="minorHAnsi" w:cstheme="minorHAnsi"/>
          <w:color w:val="000000"/>
          <w:lang w:eastAsia="pt-BR"/>
        </w:rPr>
        <w:t>  É</w:t>
      </w:r>
      <w:proofErr w:type="gramEnd"/>
      <w:r w:rsidRPr="00F869FB">
        <w:rPr>
          <w:rFonts w:asciiTheme="minorHAnsi" w:eastAsia="Times New Roman" w:hAnsiTheme="minorHAnsi" w:cstheme="minorHAnsi"/>
          <w:color w:val="000000"/>
          <w:lang w:eastAsia="pt-BR"/>
        </w:rPr>
        <w:t xml:space="preserve"> permitida a participação do autor do projeto ou da empresa a que se refere o inciso II deste artigo, na licitação de obra ou serviço, ou na execução, como consultor ou técnico, nas funções de fiscalização, supervisão ou gerenciamento, exclusivamente a serviço da Administração interessada.</w:t>
      </w:r>
    </w:p>
    <w:p w:rsidR="00F869FB" w:rsidRPr="00F869FB" w:rsidRDefault="00F869FB" w:rsidP="00F869FB">
      <w:pPr>
        <w:suppressAutoHyphens w:val="0"/>
        <w:spacing w:before="100" w:beforeAutospacing="1" w:after="100" w:afterAutospacing="1"/>
        <w:ind w:left="1701"/>
        <w:jc w:val="both"/>
        <w:rPr>
          <w:rFonts w:asciiTheme="minorHAnsi" w:eastAsia="Times New Roman" w:hAnsiTheme="minorHAnsi" w:cstheme="minorHAnsi"/>
          <w:color w:val="000000"/>
          <w:lang w:eastAsia="pt-BR"/>
        </w:rPr>
      </w:pPr>
      <w:bookmarkStart w:id="4" w:name="art9§2"/>
      <w:bookmarkEnd w:id="4"/>
      <w:r w:rsidRPr="00F869FB">
        <w:rPr>
          <w:rFonts w:asciiTheme="minorHAnsi" w:eastAsia="Times New Roman" w:hAnsiTheme="minorHAnsi" w:cstheme="minorHAnsi"/>
          <w:color w:val="000000"/>
          <w:lang w:eastAsia="pt-BR"/>
        </w:rPr>
        <w:t>§ 2</w:t>
      </w:r>
      <w:proofErr w:type="gramStart"/>
      <w:r w:rsidRPr="00F869FB">
        <w:rPr>
          <w:rFonts w:asciiTheme="minorHAnsi" w:eastAsia="Times New Roman" w:hAnsiTheme="minorHAnsi" w:cstheme="minorHAnsi"/>
          <w:color w:val="000000"/>
          <w:u w:val="single"/>
          <w:vertAlign w:val="superscript"/>
          <w:lang w:eastAsia="pt-BR"/>
        </w:rPr>
        <w:t>o</w:t>
      </w:r>
      <w:r w:rsidRPr="00F869FB">
        <w:rPr>
          <w:rFonts w:asciiTheme="minorHAnsi" w:eastAsia="Times New Roman" w:hAnsiTheme="minorHAnsi" w:cstheme="minorHAnsi"/>
          <w:color w:val="000000"/>
          <w:lang w:eastAsia="pt-BR"/>
        </w:rPr>
        <w:t>  O</w:t>
      </w:r>
      <w:proofErr w:type="gramEnd"/>
      <w:r w:rsidRPr="00F869FB">
        <w:rPr>
          <w:rFonts w:asciiTheme="minorHAnsi" w:eastAsia="Times New Roman" w:hAnsiTheme="minorHAnsi" w:cstheme="minorHAnsi"/>
          <w:color w:val="000000"/>
          <w:lang w:eastAsia="pt-BR"/>
        </w:rPr>
        <w:t xml:space="preserve"> disposto neste artigo não impede a licitação ou contratação de obra ou serviço que inclua a elaboração de projeto executivo como encargo do contratado ou pelo preço previamente fixado pela Administração.</w:t>
      </w:r>
    </w:p>
    <w:p w:rsidR="00F869FB" w:rsidRPr="00F869FB" w:rsidRDefault="00F869FB" w:rsidP="00F869FB">
      <w:pPr>
        <w:suppressAutoHyphens w:val="0"/>
        <w:spacing w:before="100" w:beforeAutospacing="1" w:after="100" w:afterAutospacing="1"/>
        <w:ind w:left="1701"/>
        <w:jc w:val="both"/>
        <w:rPr>
          <w:rFonts w:asciiTheme="minorHAnsi" w:eastAsia="Times New Roman" w:hAnsiTheme="minorHAnsi" w:cstheme="minorHAnsi"/>
          <w:color w:val="000000"/>
          <w:lang w:eastAsia="pt-BR"/>
        </w:rPr>
      </w:pPr>
      <w:bookmarkStart w:id="5" w:name="art9§3"/>
      <w:bookmarkEnd w:id="5"/>
      <w:r w:rsidRPr="00F869FB">
        <w:rPr>
          <w:rFonts w:asciiTheme="minorHAnsi" w:eastAsia="Times New Roman" w:hAnsiTheme="minorHAnsi" w:cstheme="minorHAnsi"/>
          <w:color w:val="000000"/>
          <w:lang w:eastAsia="pt-BR"/>
        </w:rPr>
        <w:t>§ 3</w:t>
      </w:r>
      <w:proofErr w:type="gramStart"/>
      <w:r w:rsidRPr="00F869FB">
        <w:rPr>
          <w:rFonts w:asciiTheme="minorHAnsi" w:eastAsia="Times New Roman" w:hAnsiTheme="minorHAnsi" w:cstheme="minorHAnsi"/>
          <w:color w:val="000000"/>
          <w:u w:val="single"/>
          <w:vertAlign w:val="superscript"/>
          <w:lang w:eastAsia="pt-BR"/>
        </w:rPr>
        <w:t>o</w:t>
      </w:r>
      <w:r w:rsidRPr="00F869FB">
        <w:rPr>
          <w:rFonts w:asciiTheme="minorHAnsi" w:eastAsia="Times New Roman" w:hAnsiTheme="minorHAnsi" w:cstheme="minorHAnsi"/>
          <w:color w:val="000000"/>
          <w:lang w:eastAsia="pt-BR"/>
        </w:rPr>
        <w:t>  Considera</w:t>
      </w:r>
      <w:proofErr w:type="gramEnd"/>
      <w:r w:rsidRPr="00F869FB">
        <w:rPr>
          <w:rFonts w:asciiTheme="minorHAnsi" w:eastAsia="Times New Roman" w:hAnsiTheme="minorHAnsi" w:cstheme="minorHAnsi"/>
          <w:color w:val="000000"/>
          <w:lang w:eastAsia="pt-BR"/>
        </w:rPr>
        <w:t>-se participação indireta, para fins do disposto neste artigo,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w:t>
      </w:r>
    </w:p>
    <w:p w:rsidR="00F869FB" w:rsidRPr="00F869FB" w:rsidRDefault="00F869FB" w:rsidP="00F869FB">
      <w:pPr>
        <w:suppressAutoHyphens w:val="0"/>
        <w:spacing w:before="100" w:beforeAutospacing="1" w:after="100" w:afterAutospacing="1"/>
        <w:ind w:left="1701"/>
        <w:jc w:val="both"/>
        <w:rPr>
          <w:rFonts w:asciiTheme="minorHAnsi" w:eastAsia="Times New Roman" w:hAnsiTheme="minorHAnsi" w:cstheme="minorHAnsi"/>
          <w:color w:val="000000"/>
          <w:lang w:eastAsia="pt-BR"/>
        </w:rPr>
      </w:pPr>
      <w:bookmarkStart w:id="6" w:name="art9§4"/>
      <w:bookmarkEnd w:id="6"/>
      <w:r w:rsidRPr="00F869FB">
        <w:rPr>
          <w:rFonts w:asciiTheme="minorHAnsi" w:eastAsia="Times New Roman" w:hAnsiTheme="minorHAnsi" w:cstheme="minorHAnsi"/>
          <w:color w:val="000000"/>
          <w:lang w:eastAsia="pt-BR"/>
        </w:rPr>
        <w:t>§ 4</w:t>
      </w:r>
      <w:proofErr w:type="gramStart"/>
      <w:r w:rsidRPr="00F869FB">
        <w:rPr>
          <w:rFonts w:asciiTheme="minorHAnsi" w:eastAsia="Times New Roman" w:hAnsiTheme="minorHAnsi" w:cstheme="minorHAnsi"/>
          <w:color w:val="000000"/>
          <w:u w:val="single"/>
          <w:vertAlign w:val="superscript"/>
          <w:lang w:eastAsia="pt-BR"/>
        </w:rPr>
        <w:t>o</w:t>
      </w:r>
      <w:r w:rsidRPr="00F869FB">
        <w:rPr>
          <w:rFonts w:asciiTheme="minorHAnsi" w:eastAsia="Times New Roman" w:hAnsiTheme="minorHAnsi" w:cstheme="minorHAnsi"/>
          <w:color w:val="000000"/>
          <w:lang w:eastAsia="pt-BR"/>
        </w:rPr>
        <w:t>  O</w:t>
      </w:r>
      <w:proofErr w:type="gramEnd"/>
      <w:r w:rsidRPr="00F869FB">
        <w:rPr>
          <w:rFonts w:asciiTheme="minorHAnsi" w:eastAsia="Times New Roman" w:hAnsiTheme="minorHAnsi" w:cstheme="minorHAnsi"/>
          <w:color w:val="000000"/>
          <w:lang w:eastAsia="pt-BR"/>
        </w:rPr>
        <w:t xml:space="preserve"> disposto no parágrafo anterior aplica-se aos membros da comissão de licitação.</w:t>
      </w:r>
    </w:p>
    <w:p w:rsidR="00F869FB" w:rsidRPr="00F869FB" w:rsidRDefault="00F869FB" w:rsidP="00F869FB">
      <w:pPr>
        <w:suppressAutoHyphens w:val="0"/>
        <w:spacing w:after="160" w:line="259" w:lineRule="auto"/>
        <w:ind w:left="1701"/>
        <w:jc w:val="both"/>
        <w:rPr>
          <w:rFonts w:asciiTheme="minorHAnsi" w:eastAsia="Calibri" w:hAnsiTheme="minorHAnsi" w:cstheme="minorHAnsi"/>
          <w:lang w:eastAsia="en-US"/>
        </w:rPr>
      </w:pPr>
      <w:r w:rsidRPr="00F869FB">
        <w:rPr>
          <w:rFonts w:asciiTheme="minorHAnsi" w:eastAsia="Calibri" w:hAnsiTheme="minorHAnsi" w:cstheme="minorHAnsi"/>
          <w:lang w:eastAsia="en-US"/>
        </w:rPr>
        <w:t>(</w:t>
      </w:r>
      <w:proofErr w:type="gramStart"/>
      <w:r w:rsidRPr="00F869FB">
        <w:rPr>
          <w:rFonts w:asciiTheme="minorHAnsi" w:eastAsia="Calibri" w:hAnsiTheme="minorHAnsi" w:cstheme="minorHAnsi"/>
          <w:lang w:eastAsia="en-US"/>
        </w:rPr>
        <w:t>grifo</w:t>
      </w:r>
      <w:proofErr w:type="gramEnd"/>
      <w:r w:rsidRPr="00F869FB">
        <w:rPr>
          <w:rFonts w:asciiTheme="minorHAnsi" w:eastAsia="Calibri" w:hAnsiTheme="minorHAnsi" w:cstheme="minorHAnsi"/>
          <w:lang w:eastAsia="en-US"/>
        </w:rPr>
        <w:t xml:space="preserve"> nosso)</w:t>
      </w:r>
    </w:p>
    <w:p w:rsidR="00F869FB" w:rsidRPr="00F869FB" w:rsidRDefault="00F869FB" w:rsidP="00F869FB">
      <w:pPr>
        <w:suppressAutoHyphens w:val="0"/>
        <w:spacing w:after="160" w:line="259" w:lineRule="auto"/>
        <w:ind w:firstLine="708"/>
        <w:jc w:val="both"/>
        <w:rPr>
          <w:rFonts w:asciiTheme="minorHAnsi" w:eastAsia="Calibri" w:hAnsiTheme="minorHAnsi" w:cstheme="minorHAnsi"/>
          <w:lang w:eastAsia="en-US"/>
        </w:rPr>
      </w:pPr>
      <w:r w:rsidRPr="00F869FB">
        <w:rPr>
          <w:rFonts w:asciiTheme="minorHAnsi" w:eastAsia="Calibri" w:hAnsiTheme="minorHAnsi" w:cstheme="minorHAnsi"/>
          <w:lang w:eastAsia="en-US"/>
        </w:rPr>
        <w:t xml:space="preserve">Da leitura simples do artigo supracitado, é correto afirmar que a inclusão dos anexos não fere o princípio da competitividade, já que tais relatórios não compõem o projeto básico referente a esta Licitação. Portanto, </w:t>
      </w:r>
      <w:proofErr w:type="spellStart"/>
      <w:r w:rsidRPr="00F869FB">
        <w:rPr>
          <w:rFonts w:asciiTheme="minorHAnsi" w:eastAsia="Calibri" w:hAnsiTheme="minorHAnsi" w:cstheme="minorHAnsi"/>
          <w:lang w:eastAsia="en-US"/>
        </w:rPr>
        <w:t>esta</w:t>
      </w:r>
      <w:proofErr w:type="spellEnd"/>
      <w:r w:rsidRPr="00F869FB">
        <w:rPr>
          <w:rFonts w:asciiTheme="minorHAnsi" w:eastAsia="Calibri" w:hAnsiTheme="minorHAnsi" w:cstheme="minorHAnsi"/>
          <w:lang w:eastAsia="en-US"/>
        </w:rPr>
        <w:t xml:space="preserve"> Secretaria de Obras e Infraestrutura não compreende que tais Anexos são, em seu conteúdo, elementos de </w:t>
      </w:r>
      <w:r w:rsidRPr="00F869FB">
        <w:rPr>
          <w:rFonts w:asciiTheme="minorHAnsi" w:eastAsia="Calibri" w:hAnsiTheme="minorHAnsi" w:cstheme="minorHAnsi"/>
          <w:b/>
          <w:bCs/>
          <w:u w:val="single"/>
          <w:lang w:eastAsia="en-US"/>
        </w:rPr>
        <w:t>projeto</w:t>
      </w:r>
      <w:r w:rsidRPr="00F869FB">
        <w:rPr>
          <w:rFonts w:asciiTheme="minorHAnsi" w:eastAsia="Calibri" w:hAnsiTheme="minorHAnsi" w:cstheme="minorHAnsi"/>
          <w:lang w:eastAsia="en-US"/>
        </w:rPr>
        <w:t xml:space="preserve">, sendo estes </w:t>
      </w:r>
      <w:r w:rsidRPr="00F869FB">
        <w:rPr>
          <w:rFonts w:asciiTheme="minorHAnsi" w:eastAsia="Calibri" w:hAnsiTheme="minorHAnsi" w:cstheme="minorHAnsi"/>
          <w:b/>
          <w:bCs/>
          <w:u w:val="single"/>
          <w:lang w:eastAsia="en-US"/>
        </w:rPr>
        <w:t>documentos adicionais</w:t>
      </w:r>
      <w:r w:rsidRPr="00F869FB">
        <w:rPr>
          <w:rFonts w:asciiTheme="minorHAnsi" w:eastAsia="Calibri" w:hAnsiTheme="minorHAnsi" w:cstheme="minorHAnsi"/>
          <w:lang w:eastAsia="en-US"/>
        </w:rPr>
        <w:t xml:space="preserve"> que confirmam os resultados para a construção de todas as diretrizes do projeto. O documento oficial de projeto é tão somente o </w:t>
      </w:r>
      <w:r w:rsidRPr="00F869FB">
        <w:rPr>
          <w:rFonts w:asciiTheme="minorHAnsi" w:eastAsia="Calibri" w:hAnsiTheme="minorHAnsi" w:cstheme="minorHAnsi"/>
          <w:b/>
          <w:bCs/>
          <w:u w:val="single"/>
          <w:lang w:eastAsia="en-US"/>
        </w:rPr>
        <w:t>Termo de Referência</w:t>
      </w:r>
      <w:r w:rsidRPr="00F869FB">
        <w:rPr>
          <w:rFonts w:asciiTheme="minorHAnsi" w:eastAsia="Calibri" w:hAnsiTheme="minorHAnsi" w:cstheme="minorHAnsi"/>
          <w:lang w:eastAsia="en-US"/>
        </w:rPr>
        <w:t xml:space="preserve">. </w:t>
      </w:r>
    </w:p>
    <w:p w:rsidR="00F869FB" w:rsidRPr="00F869FB" w:rsidRDefault="00F869FB" w:rsidP="00F869FB">
      <w:pPr>
        <w:suppressAutoHyphens w:val="0"/>
        <w:spacing w:after="160" w:line="259" w:lineRule="auto"/>
        <w:ind w:firstLine="708"/>
        <w:jc w:val="both"/>
        <w:rPr>
          <w:rFonts w:asciiTheme="minorHAnsi" w:eastAsia="Calibri" w:hAnsiTheme="minorHAnsi" w:cstheme="minorHAnsi"/>
          <w:lang w:eastAsia="en-US"/>
        </w:rPr>
      </w:pPr>
      <w:r w:rsidRPr="00F869FB">
        <w:rPr>
          <w:rFonts w:asciiTheme="minorHAnsi" w:eastAsia="Calibri" w:hAnsiTheme="minorHAnsi" w:cstheme="minorHAnsi"/>
          <w:lang w:eastAsia="en-US"/>
        </w:rPr>
        <w:t xml:space="preserve">Ademais, somente após as escavações provenientes das obras dos Jardins Filtrantes do Parque Orla Piratininga, estas amostras poderiam ser examinadas, não vinculando, assim, o objeto do certame licitatório. </w:t>
      </w:r>
    </w:p>
    <w:p w:rsidR="00F869FB" w:rsidRPr="00F869FB" w:rsidRDefault="00F869FB" w:rsidP="00F869FB">
      <w:pPr>
        <w:suppressAutoHyphens w:val="0"/>
        <w:spacing w:after="160" w:line="259" w:lineRule="auto"/>
        <w:ind w:firstLine="708"/>
        <w:jc w:val="both"/>
        <w:rPr>
          <w:rFonts w:asciiTheme="minorHAnsi" w:eastAsia="Calibri" w:hAnsiTheme="minorHAnsi" w:cstheme="minorHAnsi"/>
          <w:lang w:eastAsia="en-US"/>
        </w:rPr>
      </w:pPr>
      <w:r w:rsidRPr="00F869FB">
        <w:rPr>
          <w:rFonts w:asciiTheme="minorHAnsi" w:eastAsia="Calibri" w:hAnsiTheme="minorHAnsi" w:cstheme="minorHAnsi"/>
          <w:lang w:eastAsia="en-US"/>
        </w:rPr>
        <w:t xml:space="preserve">O Termo de Referência objeto deste Certame é referente à Contratação dos serviços de coleta, transporte e disposição final de resíduos de escavação de solo na Lagoa de Piratininga e </w:t>
      </w:r>
      <w:r w:rsidRPr="00F869FB">
        <w:rPr>
          <w:rFonts w:asciiTheme="minorHAnsi" w:eastAsia="Calibri" w:hAnsiTheme="minorHAnsi" w:cstheme="minorHAnsi"/>
          <w:lang w:eastAsia="en-US"/>
        </w:rPr>
        <w:lastRenderedPageBreak/>
        <w:t xml:space="preserve">resíduos de supressão de vegetação, que foi elaborado </w:t>
      </w:r>
      <w:r w:rsidRPr="00F869FB">
        <w:rPr>
          <w:rFonts w:asciiTheme="minorHAnsi" w:eastAsia="Calibri" w:hAnsiTheme="minorHAnsi" w:cstheme="minorHAnsi"/>
          <w:b/>
          <w:bCs/>
          <w:u w:val="single"/>
          <w:lang w:eastAsia="en-US"/>
        </w:rPr>
        <w:t>único</w:t>
      </w:r>
      <w:r w:rsidRPr="00F869FB">
        <w:rPr>
          <w:rFonts w:asciiTheme="minorHAnsi" w:eastAsia="Calibri" w:hAnsiTheme="minorHAnsi" w:cstheme="minorHAnsi"/>
          <w:lang w:eastAsia="en-US"/>
        </w:rPr>
        <w:t xml:space="preserve"> e </w:t>
      </w:r>
      <w:r w:rsidRPr="00F869FB">
        <w:rPr>
          <w:rFonts w:asciiTheme="minorHAnsi" w:eastAsia="Calibri" w:hAnsiTheme="minorHAnsi" w:cstheme="minorHAnsi"/>
          <w:b/>
          <w:bCs/>
          <w:u w:val="single"/>
          <w:lang w:eastAsia="en-US"/>
        </w:rPr>
        <w:t>exclusivamente</w:t>
      </w:r>
      <w:r w:rsidRPr="00F869FB">
        <w:rPr>
          <w:rFonts w:asciiTheme="minorHAnsi" w:eastAsia="Calibri" w:hAnsiTheme="minorHAnsi" w:cstheme="minorHAnsi"/>
          <w:lang w:eastAsia="en-US"/>
        </w:rPr>
        <w:t xml:space="preserve"> pela equipe da UGP/CAF, constando o seu planejamento, metodologia de execução, a partir das especificações técnicas e formação de preços. Os documentos anexados ao referido Termo de Referência em nada alteram a foram da contratação do objeto. </w:t>
      </w:r>
    </w:p>
    <w:p w:rsidR="00F869FB" w:rsidRPr="00F869FB" w:rsidRDefault="00F869FB" w:rsidP="00F869FB">
      <w:pPr>
        <w:suppressAutoHyphens w:val="0"/>
        <w:spacing w:after="160" w:line="259" w:lineRule="auto"/>
        <w:ind w:firstLine="708"/>
        <w:jc w:val="both"/>
        <w:rPr>
          <w:rFonts w:asciiTheme="minorHAnsi" w:eastAsia="Calibri" w:hAnsiTheme="minorHAnsi" w:cstheme="minorHAnsi"/>
          <w:lang w:eastAsia="en-US"/>
        </w:rPr>
      </w:pPr>
      <w:r w:rsidRPr="00F869FB">
        <w:rPr>
          <w:rFonts w:asciiTheme="minorHAnsi" w:eastAsia="Calibri" w:hAnsiTheme="minorHAnsi" w:cstheme="minorHAnsi"/>
          <w:lang w:eastAsia="en-US"/>
        </w:rPr>
        <w:t xml:space="preserve">Neste sentido, foi decisão desta Pasta dar maior transparência às demais concorrentes, tornando público todas as informações adicionais ao projeto, de forma que estes documentos não viessem a trazer dúvida ao risco de competitividade, impessoalidade e, por consequência, à lisura do certame, mantendo a isonomia dos participantes da licitação. </w:t>
      </w:r>
    </w:p>
    <w:p w:rsidR="00F869FB" w:rsidRPr="00F869FB" w:rsidRDefault="00F869FB" w:rsidP="00F869FB">
      <w:pPr>
        <w:suppressAutoHyphens w:val="0"/>
        <w:spacing w:after="160" w:line="259" w:lineRule="auto"/>
        <w:ind w:firstLine="708"/>
        <w:jc w:val="both"/>
        <w:rPr>
          <w:rFonts w:asciiTheme="minorHAnsi" w:eastAsia="Calibri" w:hAnsiTheme="minorHAnsi" w:cstheme="minorHAnsi"/>
          <w:lang w:eastAsia="en-US"/>
        </w:rPr>
      </w:pPr>
      <w:r w:rsidRPr="00F869FB">
        <w:rPr>
          <w:rFonts w:asciiTheme="minorHAnsi" w:eastAsia="Calibri" w:hAnsiTheme="minorHAnsi" w:cstheme="minorHAnsi"/>
          <w:lang w:eastAsia="en-US"/>
        </w:rPr>
        <w:t xml:space="preserve">A partir dos argumentos acima explicitados, não há o que falar em desentranhamento dos relatórios de análise do solo, já que estes estudos são de propriedade da Prefeitura de Niterói, sendo estes objetos de </w:t>
      </w:r>
      <w:proofErr w:type="spellStart"/>
      <w:r w:rsidRPr="00F869FB">
        <w:rPr>
          <w:rFonts w:asciiTheme="minorHAnsi" w:eastAsia="Calibri" w:hAnsiTheme="minorHAnsi" w:cstheme="minorHAnsi"/>
          <w:lang w:eastAsia="en-US"/>
        </w:rPr>
        <w:t>rerratificação</w:t>
      </w:r>
      <w:proofErr w:type="spellEnd"/>
      <w:r w:rsidRPr="00F869FB">
        <w:rPr>
          <w:rFonts w:asciiTheme="minorHAnsi" w:eastAsia="Calibri" w:hAnsiTheme="minorHAnsi" w:cstheme="minorHAnsi"/>
          <w:lang w:eastAsia="en-US"/>
        </w:rPr>
        <w:t xml:space="preserve"> do contrato de obras, dando poder à contratante sobre qualquer publicidade e repasse do material. </w:t>
      </w:r>
    </w:p>
    <w:p w:rsidR="00F869FB" w:rsidRPr="00F869FB" w:rsidRDefault="00F869FB" w:rsidP="00F869FB">
      <w:pPr>
        <w:suppressAutoHyphens w:val="0"/>
        <w:spacing w:after="160" w:line="259" w:lineRule="auto"/>
        <w:jc w:val="both"/>
        <w:rPr>
          <w:rFonts w:asciiTheme="minorHAnsi" w:eastAsia="Calibri" w:hAnsiTheme="minorHAnsi" w:cstheme="minorHAnsi"/>
          <w:lang w:eastAsia="en-US"/>
        </w:rPr>
      </w:pPr>
      <w:r w:rsidRPr="00F869FB">
        <w:rPr>
          <w:rFonts w:asciiTheme="minorHAnsi" w:eastAsia="Calibri" w:hAnsiTheme="minorHAnsi" w:cstheme="minorHAnsi"/>
          <w:lang w:eastAsia="en-US"/>
        </w:rPr>
        <w:t>IV – CONCLUSÃO</w:t>
      </w:r>
    </w:p>
    <w:p w:rsidR="00F869FB" w:rsidRPr="00F869FB" w:rsidRDefault="00F869FB" w:rsidP="00F869FB">
      <w:pPr>
        <w:suppressAutoHyphens w:val="0"/>
        <w:spacing w:after="160" w:line="259" w:lineRule="auto"/>
        <w:jc w:val="both"/>
        <w:rPr>
          <w:rFonts w:asciiTheme="minorHAnsi" w:eastAsia="Calibri" w:hAnsiTheme="minorHAnsi" w:cstheme="minorHAnsi"/>
          <w:lang w:eastAsia="en-US"/>
        </w:rPr>
      </w:pPr>
      <w:r w:rsidRPr="00F869FB">
        <w:rPr>
          <w:rFonts w:asciiTheme="minorHAnsi" w:eastAsia="Calibri" w:hAnsiTheme="minorHAnsi" w:cstheme="minorHAnsi"/>
          <w:lang w:eastAsia="en-US"/>
        </w:rPr>
        <w:tab/>
        <w:t xml:space="preserve">Por todo o exposto, CONHEÇO da impugnação interposta pela empresa Construtora </w:t>
      </w:r>
      <w:proofErr w:type="spellStart"/>
      <w:r w:rsidRPr="00F869FB">
        <w:rPr>
          <w:rFonts w:asciiTheme="minorHAnsi" w:eastAsia="Calibri" w:hAnsiTheme="minorHAnsi" w:cstheme="minorHAnsi"/>
          <w:lang w:eastAsia="en-US"/>
        </w:rPr>
        <w:t>Zadar</w:t>
      </w:r>
      <w:proofErr w:type="spellEnd"/>
      <w:r w:rsidRPr="00F869FB">
        <w:rPr>
          <w:rFonts w:asciiTheme="minorHAnsi" w:eastAsia="Calibri" w:hAnsiTheme="minorHAnsi" w:cstheme="minorHAnsi"/>
          <w:lang w:eastAsia="en-US"/>
        </w:rPr>
        <w:t xml:space="preserve"> LTDA contra a publicidade de relatórios de análise do solo que constituem os anexos do Pregão Presencial nº 006/2021 e NEGO PROVIMENTO, mantendo-se inalterado o Edital em comento. </w:t>
      </w:r>
    </w:p>
    <w:p w:rsidR="00F869FB" w:rsidRPr="00F869FB" w:rsidRDefault="00F869FB" w:rsidP="00F869FB">
      <w:pPr>
        <w:suppressAutoHyphens w:val="0"/>
        <w:spacing w:after="160" w:line="259" w:lineRule="auto"/>
        <w:jc w:val="both"/>
        <w:rPr>
          <w:rFonts w:asciiTheme="minorHAnsi" w:eastAsia="Calibri" w:hAnsiTheme="minorHAnsi" w:cstheme="minorHAnsi"/>
          <w:lang w:eastAsia="en-US"/>
        </w:rPr>
      </w:pPr>
    </w:p>
    <w:p w:rsidR="00F869FB" w:rsidRPr="00F869FB" w:rsidRDefault="00F869FB" w:rsidP="00F869FB">
      <w:pPr>
        <w:suppressAutoHyphens w:val="0"/>
        <w:spacing w:after="160" w:line="259" w:lineRule="auto"/>
        <w:jc w:val="center"/>
        <w:rPr>
          <w:rFonts w:asciiTheme="minorHAnsi" w:eastAsia="Calibri" w:hAnsiTheme="minorHAnsi" w:cstheme="minorHAnsi"/>
          <w:lang w:eastAsia="en-US"/>
        </w:rPr>
      </w:pPr>
      <w:r w:rsidRPr="00F869FB">
        <w:rPr>
          <w:rFonts w:asciiTheme="minorHAnsi" w:eastAsia="Calibri" w:hAnsiTheme="minorHAnsi" w:cstheme="minorHAnsi"/>
          <w:lang w:eastAsia="en-US"/>
        </w:rPr>
        <w:t xml:space="preserve">Niterói, 23 de março de 2021. </w:t>
      </w:r>
    </w:p>
    <w:p w:rsidR="00F869FB" w:rsidRPr="00F869FB" w:rsidRDefault="00F869FB" w:rsidP="00F869FB">
      <w:pPr>
        <w:suppressAutoHyphens w:val="0"/>
        <w:spacing w:after="160" w:line="259" w:lineRule="auto"/>
        <w:jc w:val="center"/>
        <w:rPr>
          <w:rFonts w:asciiTheme="minorHAnsi" w:eastAsia="Calibri" w:hAnsiTheme="minorHAnsi" w:cstheme="minorHAnsi"/>
          <w:lang w:eastAsia="en-US"/>
        </w:rPr>
      </w:pPr>
    </w:p>
    <w:p w:rsidR="00F869FB" w:rsidRPr="00F869FB" w:rsidRDefault="00F869FB" w:rsidP="00F869FB">
      <w:pPr>
        <w:suppressAutoHyphens w:val="0"/>
        <w:spacing w:after="160" w:line="259" w:lineRule="auto"/>
        <w:jc w:val="center"/>
        <w:rPr>
          <w:rFonts w:asciiTheme="minorHAnsi" w:eastAsia="Calibri" w:hAnsiTheme="minorHAnsi" w:cstheme="minorHAnsi"/>
          <w:lang w:eastAsia="en-US"/>
        </w:rPr>
      </w:pPr>
    </w:p>
    <w:p w:rsidR="00F869FB" w:rsidRPr="00F869FB" w:rsidRDefault="00F869FB" w:rsidP="00F869FB">
      <w:pPr>
        <w:suppressAutoHyphens w:val="0"/>
        <w:spacing w:after="160" w:line="259" w:lineRule="auto"/>
        <w:jc w:val="center"/>
        <w:rPr>
          <w:rFonts w:asciiTheme="minorHAnsi" w:eastAsia="Calibri" w:hAnsiTheme="minorHAnsi" w:cstheme="minorHAnsi"/>
          <w:b/>
          <w:bCs/>
          <w:lang w:eastAsia="en-US"/>
        </w:rPr>
      </w:pPr>
      <w:r w:rsidRPr="00F869FB">
        <w:rPr>
          <w:rFonts w:asciiTheme="minorHAnsi" w:eastAsia="Calibri" w:hAnsiTheme="minorHAnsi" w:cstheme="minorHAnsi"/>
          <w:b/>
          <w:bCs/>
          <w:lang w:eastAsia="en-US"/>
        </w:rPr>
        <w:t>VICENTE AUGUSTO TEMPERINI MARINS</w:t>
      </w:r>
    </w:p>
    <w:p w:rsidR="00F869FB" w:rsidRPr="00F869FB" w:rsidRDefault="00F869FB" w:rsidP="00F869FB">
      <w:pPr>
        <w:suppressAutoHyphens w:val="0"/>
        <w:spacing w:after="160" w:line="259" w:lineRule="auto"/>
        <w:jc w:val="center"/>
        <w:rPr>
          <w:rFonts w:asciiTheme="minorHAnsi" w:eastAsia="Calibri" w:hAnsiTheme="minorHAnsi" w:cstheme="minorHAnsi"/>
          <w:b/>
          <w:bCs/>
          <w:lang w:eastAsia="en-US"/>
        </w:rPr>
      </w:pPr>
      <w:r w:rsidRPr="00F869FB">
        <w:rPr>
          <w:rFonts w:asciiTheme="minorHAnsi" w:eastAsia="Calibri" w:hAnsiTheme="minorHAnsi" w:cstheme="minorHAnsi"/>
          <w:b/>
          <w:bCs/>
          <w:lang w:eastAsia="en-US"/>
        </w:rPr>
        <w:t xml:space="preserve">Secretário Municipal de Obras e Infraestrutura </w:t>
      </w:r>
    </w:p>
    <w:p w:rsidR="00CB0A11" w:rsidRPr="00F869FB" w:rsidRDefault="00CB0A11" w:rsidP="00F869FB">
      <w:pPr>
        <w:jc w:val="center"/>
        <w:rPr>
          <w:rFonts w:asciiTheme="minorHAnsi" w:hAnsiTheme="minorHAnsi" w:cstheme="minorHAnsi"/>
          <w:bCs/>
          <w:i/>
          <w:lang w:eastAsia="pt-BR"/>
        </w:rPr>
      </w:pPr>
      <w:bookmarkStart w:id="7" w:name="_GoBack"/>
      <w:bookmarkEnd w:id="7"/>
    </w:p>
    <w:sectPr w:rsidR="00CB0A11" w:rsidRPr="00F869FB" w:rsidSect="0078242D">
      <w:headerReference w:type="even" r:id="rId9"/>
      <w:headerReference w:type="default" r:id="rId10"/>
      <w:footerReference w:type="even"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385146" w:rsidP="00E3000B">
    <w:pPr>
      <w:pStyle w:val="Cabealho"/>
      <w:jc w:val="center"/>
      <w:rPr>
        <w:b/>
        <w:noProof/>
        <w:sz w:val="16"/>
        <w:szCs w:val="16"/>
        <w:lang w:eastAsia="pt-BR"/>
      </w:rPr>
    </w:pPr>
  </w:p>
  <w:p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074E128F" wp14:editId="592A9B77">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E3000B" w:rsidRDefault="00E06A46" w:rsidP="00E3000B">
    <w:pPr>
      <w:pStyle w:val="Cabealho"/>
      <w:jc w:val="center"/>
      <w:rPr>
        <w:rFonts w:asciiTheme="minorHAnsi" w:hAnsiTheme="minorHAnsi" w:cstheme="minorHAnsi"/>
        <w:b/>
      </w:rPr>
    </w:pPr>
    <w:r w:rsidRPr="00E06A46">
      <w:rPr>
        <w:rFonts w:asciiTheme="minorHAnsi" w:hAnsiTheme="minorHAnsi" w:cstheme="minorHAnsi"/>
        <w:b/>
      </w:rPr>
      <w:t xml:space="preserve">Secretaria Municipal de </w:t>
    </w:r>
    <w:r w:rsidR="00CB0A11">
      <w:rPr>
        <w:rFonts w:asciiTheme="minorHAnsi" w:hAnsiTheme="minorHAnsi" w:cstheme="minorHAnsi"/>
        <w:b/>
      </w:rPr>
      <w:t>Obras e Infraestrutura</w:t>
    </w:r>
  </w:p>
  <w:p w:rsidR="00CB0A11" w:rsidRPr="00E3000B" w:rsidRDefault="00CB0A11" w:rsidP="00E3000B">
    <w:pPr>
      <w:pStyle w:val="Cabealho"/>
      <w:jc w:val="center"/>
    </w:pPr>
    <w:r>
      <w:rPr>
        <w:rFonts w:asciiTheme="minorHAnsi" w:hAnsiTheme="minorHAnsi" w:cstheme="minorHAnsi"/>
        <w:b/>
      </w:rPr>
      <w:t>UGP/CAF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59A3"/>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F21"/>
    <w:rsid w:val="0018756F"/>
    <w:rsid w:val="00187D0F"/>
    <w:rsid w:val="00190CB2"/>
    <w:rsid w:val="00192EE7"/>
    <w:rsid w:val="001A116E"/>
    <w:rsid w:val="001A11F4"/>
    <w:rsid w:val="001A29D7"/>
    <w:rsid w:val="001A4AD6"/>
    <w:rsid w:val="001B38F7"/>
    <w:rsid w:val="001C1393"/>
    <w:rsid w:val="001C4BF0"/>
    <w:rsid w:val="001C6FE3"/>
    <w:rsid w:val="001D1EC9"/>
    <w:rsid w:val="001D2CCD"/>
    <w:rsid w:val="001D7828"/>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4BFF"/>
    <w:rsid w:val="00385146"/>
    <w:rsid w:val="00385CC7"/>
    <w:rsid w:val="00387721"/>
    <w:rsid w:val="0039129F"/>
    <w:rsid w:val="00394780"/>
    <w:rsid w:val="00396262"/>
    <w:rsid w:val="003A1807"/>
    <w:rsid w:val="003B2397"/>
    <w:rsid w:val="003C02F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B14"/>
    <w:rsid w:val="00643E99"/>
    <w:rsid w:val="00645EEA"/>
    <w:rsid w:val="00653209"/>
    <w:rsid w:val="00653B6B"/>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C0561"/>
    <w:rsid w:val="007C16CE"/>
    <w:rsid w:val="007C4221"/>
    <w:rsid w:val="007D6A52"/>
    <w:rsid w:val="007D6F1D"/>
    <w:rsid w:val="007D78A2"/>
    <w:rsid w:val="007E1486"/>
    <w:rsid w:val="007E16CD"/>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A206F"/>
    <w:rsid w:val="009A46C6"/>
    <w:rsid w:val="009B5F32"/>
    <w:rsid w:val="009B6FB6"/>
    <w:rsid w:val="009B71A9"/>
    <w:rsid w:val="009C240C"/>
    <w:rsid w:val="009C636B"/>
    <w:rsid w:val="009D046A"/>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D4C"/>
    <w:rsid w:val="00DB60CF"/>
    <w:rsid w:val="00DB62AA"/>
    <w:rsid w:val="00DC1A00"/>
    <w:rsid w:val="00DC2A4B"/>
    <w:rsid w:val="00DC2AFB"/>
    <w:rsid w:val="00DC4655"/>
    <w:rsid w:val="00DC5EB6"/>
    <w:rsid w:val="00DC702A"/>
    <w:rsid w:val="00DC7389"/>
    <w:rsid w:val="00DD1421"/>
    <w:rsid w:val="00DD1F51"/>
    <w:rsid w:val="00DD404B"/>
    <w:rsid w:val="00DD6692"/>
    <w:rsid w:val="00DD7012"/>
    <w:rsid w:val="00DE1771"/>
    <w:rsid w:val="00DE3151"/>
    <w:rsid w:val="00DE3D52"/>
    <w:rsid w:val="00DE5303"/>
    <w:rsid w:val="00DE6F2F"/>
    <w:rsid w:val="00DF0186"/>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869FB"/>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B8FC29"/>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erialsma@administra&#231;&#227;o.niteroi.rj.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7CA86-EB3F-4C55-AECB-455F4DC1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2</cp:revision>
  <cp:lastPrinted>2020-06-03T19:27:00Z</cp:lastPrinted>
  <dcterms:created xsi:type="dcterms:W3CDTF">2021-03-24T13:43:00Z</dcterms:created>
  <dcterms:modified xsi:type="dcterms:W3CDTF">2021-03-24T13:43:00Z</dcterms:modified>
</cp:coreProperties>
</file>